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5C" w:rsidRDefault="006B185C" w:rsidP="006B185C">
      <w:pPr>
        <w:spacing w:after="0"/>
        <w:rPr>
          <w:b/>
          <w:sz w:val="28"/>
          <w:szCs w:val="28"/>
        </w:rPr>
      </w:pPr>
      <w:r>
        <w:rPr>
          <w:b/>
          <w:noProof/>
          <w:sz w:val="28"/>
          <w:szCs w:val="28"/>
        </w:rPr>
        <w:drawing>
          <wp:inline distT="0" distB="0" distL="0" distR="0">
            <wp:extent cx="5943600" cy="680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hp_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680720"/>
                    </a:xfrm>
                    <a:prstGeom prst="rect">
                      <a:avLst/>
                    </a:prstGeom>
                  </pic:spPr>
                </pic:pic>
              </a:graphicData>
            </a:graphic>
          </wp:inline>
        </w:drawing>
      </w:r>
    </w:p>
    <w:p w:rsidR="006B185C" w:rsidRDefault="006B185C" w:rsidP="006B185C">
      <w:pPr>
        <w:spacing w:after="0"/>
        <w:rPr>
          <w:b/>
          <w:sz w:val="28"/>
          <w:szCs w:val="28"/>
        </w:rPr>
      </w:pPr>
    </w:p>
    <w:p w:rsidR="006B185C" w:rsidRPr="002C7E3D" w:rsidRDefault="006B185C" w:rsidP="006B185C">
      <w:pPr>
        <w:spacing w:after="0"/>
        <w:rPr>
          <w:b/>
          <w:i/>
          <w:sz w:val="28"/>
          <w:szCs w:val="28"/>
        </w:rPr>
      </w:pPr>
      <w:r w:rsidRPr="00D94FCB">
        <w:rPr>
          <w:b/>
          <w:sz w:val="28"/>
          <w:szCs w:val="28"/>
        </w:rPr>
        <w:t>INSTITUTE FOR RESPONSIBLE HOUSING</w:t>
      </w:r>
      <w:r w:rsidRPr="0072572F">
        <w:rPr>
          <w:b/>
          <w:sz w:val="28"/>
          <w:szCs w:val="28"/>
        </w:rPr>
        <w:t xml:space="preserve"> </w:t>
      </w:r>
      <w:r w:rsidRPr="00D94FCB">
        <w:rPr>
          <w:b/>
          <w:sz w:val="28"/>
          <w:szCs w:val="28"/>
        </w:rPr>
        <w:t>PR</w:t>
      </w:r>
      <w:r>
        <w:rPr>
          <w:b/>
          <w:sz w:val="28"/>
          <w:szCs w:val="28"/>
        </w:rPr>
        <w:t>ESERVATION</w:t>
      </w:r>
      <w:r w:rsidRPr="00D94FCB">
        <w:rPr>
          <w:b/>
          <w:sz w:val="28"/>
          <w:szCs w:val="28"/>
        </w:rPr>
        <w:t xml:space="preserve"> </w:t>
      </w:r>
      <w:r w:rsidRPr="002C7E3D">
        <w:rPr>
          <w:b/>
          <w:i/>
          <w:sz w:val="28"/>
          <w:szCs w:val="28"/>
        </w:rPr>
        <w:t>presents</w:t>
      </w:r>
    </w:p>
    <w:p w:rsidR="006B185C" w:rsidRPr="0072572F" w:rsidRDefault="006B185C" w:rsidP="006B185C">
      <w:pPr>
        <w:spacing w:after="0"/>
        <w:rPr>
          <w:b/>
          <w:sz w:val="24"/>
          <w:szCs w:val="24"/>
        </w:rPr>
      </w:pPr>
      <w:r w:rsidRPr="0072572F">
        <w:rPr>
          <w:rFonts w:ascii="Arial" w:hAnsi="Arial" w:cs="Arial"/>
          <w:b/>
          <w:bCs/>
          <w:color w:val="3C3C3C"/>
          <w:sz w:val="24"/>
          <w:szCs w:val="24"/>
        </w:rPr>
        <w:t>Affordable Housing</w:t>
      </w:r>
      <w:r w:rsidR="00972878">
        <w:rPr>
          <w:rFonts w:ascii="Arial" w:hAnsi="Arial" w:cs="Arial"/>
          <w:b/>
          <w:bCs/>
          <w:color w:val="3C3C3C"/>
          <w:sz w:val="24"/>
          <w:szCs w:val="24"/>
        </w:rPr>
        <w:t xml:space="preserve"> Preservation Symposium</w:t>
      </w:r>
    </w:p>
    <w:p w:rsidR="00D96803" w:rsidRDefault="00D96803" w:rsidP="00FB6307">
      <w:pPr>
        <w:spacing w:after="0"/>
        <w:rPr>
          <w:b/>
          <w:sz w:val="24"/>
          <w:szCs w:val="24"/>
        </w:rPr>
      </w:pPr>
    </w:p>
    <w:p w:rsidR="006B185C" w:rsidRPr="00D95666" w:rsidRDefault="006B185C" w:rsidP="00FB6307">
      <w:pPr>
        <w:spacing w:after="0"/>
        <w:rPr>
          <w:b/>
          <w:sz w:val="24"/>
          <w:szCs w:val="24"/>
        </w:rPr>
      </w:pPr>
      <w:r w:rsidRPr="00D95666">
        <w:rPr>
          <w:b/>
          <w:sz w:val="24"/>
          <w:szCs w:val="24"/>
        </w:rPr>
        <w:t xml:space="preserve">Day One – September </w:t>
      </w:r>
      <w:r w:rsidR="00972878">
        <w:rPr>
          <w:b/>
          <w:sz w:val="24"/>
          <w:szCs w:val="24"/>
        </w:rPr>
        <w:t>19, 2019</w:t>
      </w:r>
    </w:p>
    <w:p w:rsidR="00304168" w:rsidRDefault="00304168" w:rsidP="00FB6307">
      <w:pPr>
        <w:spacing w:after="0"/>
        <w:rPr>
          <w:b/>
          <w:color w:val="76923C" w:themeColor="accent3" w:themeShade="BF"/>
          <w:u w:val="single"/>
        </w:rPr>
      </w:pPr>
    </w:p>
    <w:p w:rsidR="002A03D9" w:rsidRDefault="006E71F4" w:rsidP="00FB6307">
      <w:pPr>
        <w:spacing w:after="0"/>
        <w:rPr>
          <w:b/>
          <w:color w:val="76923C" w:themeColor="accent3" w:themeShade="BF"/>
          <w:u w:val="single"/>
        </w:rPr>
      </w:pPr>
      <w:r>
        <w:rPr>
          <w:b/>
          <w:color w:val="76923C" w:themeColor="accent3" w:themeShade="BF"/>
          <w:u w:val="single"/>
        </w:rPr>
        <w:t>8:3</w:t>
      </w:r>
      <w:r w:rsidR="002A03D9">
        <w:rPr>
          <w:b/>
          <w:color w:val="76923C" w:themeColor="accent3" w:themeShade="BF"/>
          <w:u w:val="single"/>
        </w:rPr>
        <w:t>0 – Registration and Continental Breakfast</w:t>
      </w:r>
    </w:p>
    <w:p w:rsidR="00A80D8A" w:rsidRDefault="00A80D8A" w:rsidP="00FB6307">
      <w:pPr>
        <w:spacing w:after="0"/>
        <w:rPr>
          <w:b/>
          <w:color w:val="76923C" w:themeColor="accent3" w:themeShade="BF"/>
          <w:u w:val="single"/>
        </w:rPr>
      </w:pPr>
    </w:p>
    <w:p w:rsidR="006B185C" w:rsidRDefault="006E71F4" w:rsidP="00FB6307">
      <w:pPr>
        <w:spacing w:after="0"/>
        <w:rPr>
          <w:b/>
          <w:color w:val="76923C" w:themeColor="accent3" w:themeShade="BF"/>
          <w:u w:val="single"/>
        </w:rPr>
      </w:pPr>
      <w:r>
        <w:rPr>
          <w:b/>
          <w:color w:val="76923C" w:themeColor="accent3" w:themeShade="BF"/>
          <w:u w:val="single"/>
        </w:rPr>
        <w:t>9:00a-10:00</w:t>
      </w:r>
      <w:r w:rsidR="006B185C" w:rsidRPr="00D95666">
        <w:rPr>
          <w:b/>
          <w:color w:val="76923C" w:themeColor="accent3" w:themeShade="BF"/>
          <w:u w:val="single"/>
        </w:rPr>
        <w:t>a Washington Update</w:t>
      </w:r>
    </w:p>
    <w:p w:rsidR="007A7F98" w:rsidRPr="007A7F98" w:rsidRDefault="007A7F98" w:rsidP="00FB6307">
      <w:pPr>
        <w:spacing w:after="0"/>
      </w:pPr>
      <w:r w:rsidRPr="007A7F98">
        <w:t>Moderator: Wallace</w:t>
      </w:r>
    </w:p>
    <w:p w:rsidR="007A7F98" w:rsidRPr="007A7F98" w:rsidRDefault="007A7F98" w:rsidP="00FB6307">
      <w:pPr>
        <w:spacing w:after="0"/>
      </w:pPr>
      <w:r w:rsidRPr="007A7F98">
        <w:t>Gasson/Muha/Sussman</w:t>
      </w:r>
    </w:p>
    <w:p w:rsidR="006B185C" w:rsidRDefault="006B185C" w:rsidP="006B185C">
      <w:pPr>
        <w:spacing w:after="0"/>
      </w:pPr>
      <w:r w:rsidRPr="00D95666">
        <w:t>Our Capitol Hill and HUD experts will present a comprehensive review of affordable housing</w:t>
      </w:r>
      <w:r w:rsidR="00972878">
        <w:t xml:space="preserve">, </w:t>
      </w:r>
      <w:r w:rsidRPr="00D95666">
        <w:t xml:space="preserve">tax credit </w:t>
      </w:r>
      <w:r w:rsidR="00972878">
        <w:t xml:space="preserve">and policy updates, </w:t>
      </w:r>
      <w:r w:rsidR="00542246">
        <w:t xml:space="preserve">new budget and debt ceiling deal, </w:t>
      </w:r>
      <w:r w:rsidR="00972878">
        <w:t xml:space="preserve">2019 </w:t>
      </w:r>
      <w:r w:rsidR="00542246">
        <w:t>Omnibus appropriations bill, Trump 2020</w:t>
      </w:r>
      <w:r w:rsidR="00972878">
        <w:t xml:space="preserve"> HUD Budget proposal, HUD program changes, and other emerging preservation trends.</w:t>
      </w:r>
    </w:p>
    <w:p w:rsidR="00A80D8A" w:rsidRDefault="00A80D8A" w:rsidP="00FA0620">
      <w:pPr>
        <w:spacing w:after="0"/>
        <w:rPr>
          <w:b/>
          <w:color w:val="76923C" w:themeColor="accent3" w:themeShade="BF"/>
          <w:u w:val="single"/>
        </w:rPr>
      </w:pPr>
    </w:p>
    <w:p w:rsidR="00FA0620" w:rsidRDefault="006E71F4" w:rsidP="00FA0620">
      <w:pPr>
        <w:spacing w:after="0"/>
        <w:rPr>
          <w:b/>
          <w:color w:val="76923C" w:themeColor="accent3" w:themeShade="BF"/>
          <w:u w:val="single"/>
        </w:rPr>
      </w:pPr>
      <w:r>
        <w:rPr>
          <w:b/>
          <w:color w:val="76923C" w:themeColor="accent3" w:themeShade="BF"/>
          <w:u w:val="single"/>
        </w:rPr>
        <w:t>10:00-11:00</w:t>
      </w:r>
      <w:r w:rsidR="00FA0620" w:rsidRPr="00D95666">
        <w:rPr>
          <w:b/>
          <w:color w:val="76923C" w:themeColor="accent3" w:themeShade="BF"/>
          <w:u w:val="single"/>
        </w:rPr>
        <w:t xml:space="preserve">a </w:t>
      </w:r>
      <w:r w:rsidR="00972878">
        <w:rPr>
          <w:b/>
          <w:color w:val="76923C" w:themeColor="accent3" w:themeShade="BF"/>
          <w:u w:val="single"/>
        </w:rPr>
        <w:t>Rental Assistance Demons</w:t>
      </w:r>
      <w:r w:rsidR="001D2CFF">
        <w:rPr>
          <w:b/>
          <w:color w:val="76923C" w:themeColor="accent3" w:themeShade="BF"/>
          <w:u w:val="single"/>
        </w:rPr>
        <w:t>t</w:t>
      </w:r>
      <w:r w:rsidR="00972878">
        <w:rPr>
          <w:b/>
          <w:color w:val="76923C" w:themeColor="accent3" w:themeShade="BF"/>
          <w:u w:val="single"/>
        </w:rPr>
        <w:t>ration Program (RAD) Update</w:t>
      </w:r>
    </w:p>
    <w:p w:rsidR="007A7F98" w:rsidRPr="007A7F98" w:rsidRDefault="007A7F98" w:rsidP="007A7F98">
      <w:pPr>
        <w:spacing w:after="0"/>
      </w:pPr>
      <w:r w:rsidRPr="007A7F98">
        <w:t xml:space="preserve">Moderator: </w:t>
      </w:r>
      <w:r>
        <w:t>VanAmerongen</w:t>
      </w:r>
    </w:p>
    <w:p w:rsidR="007A7F98" w:rsidRDefault="007A7F98" w:rsidP="007A7F98">
      <w:pPr>
        <w:spacing w:after="0"/>
      </w:pPr>
      <w:r>
        <w:t>Hazelton/</w:t>
      </w:r>
      <w:r w:rsidR="00FC3F48">
        <w:t>Henkel/</w:t>
      </w:r>
      <w:r>
        <w:t>Soroka</w:t>
      </w:r>
    </w:p>
    <w:p w:rsidR="002512AE" w:rsidRPr="002512AE" w:rsidRDefault="002512AE" w:rsidP="002512AE">
      <w:r w:rsidRPr="002512AE">
        <w:t>Our panelists will discuss the intricacies of the RAD program, which provides project-based subsidy to leverage private resources to preserve public housing, mod rehab and Section 202 PRAC properties.  The panel will discuss the latest RAD guidance and other tools HUD is making available to preserve older public and assisted housing, including Section 18 and rent bundling.</w:t>
      </w:r>
    </w:p>
    <w:p w:rsidR="006B185C" w:rsidRDefault="006E71F4" w:rsidP="006B185C">
      <w:pPr>
        <w:spacing w:after="0"/>
        <w:rPr>
          <w:b/>
          <w:color w:val="76923C" w:themeColor="accent3" w:themeShade="BF"/>
          <w:u w:val="single"/>
        </w:rPr>
      </w:pPr>
      <w:r>
        <w:rPr>
          <w:b/>
          <w:color w:val="76923C" w:themeColor="accent3" w:themeShade="BF"/>
          <w:u w:val="single"/>
        </w:rPr>
        <w:t>11:00a-11:15</w:t>
      </w:r>
      <w:r w:rsidR="006B185C" w:rsidRPr="00D95666">
        <w:rPr>
          <w:b/>
          <w:color w:val="76923C" w:themeColor="accent3" w:themeShade="BF"/>
          <w:u w:val="single"/>
        </w:rPr>
        <w:t>a Break</w:t>
      </w:r>
    </w:p>
    <w:p w:rsidR="00A80D8A" w:rsidRDefault="00A80D8A" w:rsidP="00346CFD">
      <w:pPr>
        <w:spacing w:after="0"/>
        <w:rPr>
          <w:b/>
          <w:color w:val="76923C" w:themeColor="accent3" w:themeShade="BF"/>
          <w:u w:val="single"/>
        </w:rPr>
      </w:pPr>
    </w:p>
    <w:p w:rsidR="00346CFD" w:rsidRDefault="006E71F4" w:rsidP="00346CFD">
      <w:pPr>
        <w:spacing w:after="0"/>
        <w:rPr>
          <w:b/>
          <w:color w:val="76923C" w:themeColor="accent3" w:themeShade="BF"/>
          <w:u w:val="single"/>
        </w:rPr>
      </w:pPr>
      <w:r>
        <w:rPr>
          <w:b/>
          <w:color w:val="76923C" w:themeColor="accent3" w:themeShade="BF"/>
          <w:u w:val="single"/>
        </w:rPr>
        <w:t>11:15a-</w:t>
      </w:r>
      <w:proofErr w:type="gramStart"/>
      <w:r>
        <w:rPr>
          <w:b/>
          <w:color w:val="76923C" w:themeColor="accent3" w:themeShade="BF"/>
          <w:u w:val="single"/>
        </w:rPr>
        <w:t>12:15</w:t>
      </w:r>
      <w:r w:rsidR="006B185C" w:rsidRPr="00D95666">
        <w:rPr>
          <w:b/>
          <w:color w:val="76923C" w:themeColor="accent3" w:themeShade="BF"/>
          <w:u w:val="single"/>
        </w:rPr>
        <w:t xml:space="preserve">p  </w:t>
      </w:r>
      <w:r w:rsidR="00346CFD" w:rsidRPr="00D95666">
        <w:rPr>
          <w:b/>
          <w:color w:val="76923C" w:themeColor="accent3" w:themeShade="BF"/>
          <w:u w:val="single"/>
        </w:rPr>
        <w:t>The</w:t>
      </w:r>
      <w:proofErr w:type="gramEnd"/>
      <w:r w:rsidR="00346CFD" w:rsidRPr="00D95666">
        <w:rPr>
          <w:b/>
          <w:color w:val="76923C" w:themeColor="accent3" w:themeShade="BF"/>
          <w:u w:val="single"/>
        </w:rPr>
        <w:t xml:space="preserve"> Complexities of Renewing your Section 8 Contract</w:t>
      </w:r>
    </w:p>
    <w:p w:rsidR="007A7F98" w:rsidRPr="007A7F98" w:rsidRDefault="007A7F98" w:rsidP="007A7F98">
      <w:pPr>
        <w:spacing w:after="0"/>
      </w:pPr>
      <w:r w:rsidRPr="007A7F98">
        <w:t xml:space="preserve">Moderator: </w:t>
      </w:r>
      <w:r>
        <w:t>Sussman</w:t>
      </w:r>
    </w:p>
    <w:p w:rsidR="007A7F98" w:rsidRPr="007A7F98" w:rsidRDefault="007A7F98" w:rsidP="007A7F98">
      <w:pPr>
        <w:spacing w:after="0"/>
      </w:pPr>
      <w:r>
        <w:t>Arthur</w:t>
      </w:r>
      <w:r w:rsidR="00DE3344">
        <w:t>/Cushman/Ruvolo</w:t>
      </w:r>
    </w:p>
    <w:p w:rsidR="00346CFD" w:rsidRDefault="00346CFD" w:rsidP="00346CFD">
      <w:pPr>
        <w:spacing w:after="0"/>
      </w:pPr>
      <w:r w:rsidRPr="00D95666">
        <w:t>A comprehensive review of ongoing changes and updates (published and unpublished) to the Section 8 renewal guide including early termination of Section 8 contracts, increased distributions, excepti</w:t>
      </w:r>
      <w:r w:rsidR="001A57D7">
        <w:t>on rents, and post rehab</w:t>
      </w:r>
      <w:r w:rsidR="00542246">
        <w:t xml:space="preserve"> rents</w:t>
      </w:r>
      <w:r w:rsidRPr="00D95666">
        <w:t xml:space="preserve">.  </w:t>
      </w:r>
    </w:p>
    <w:p w:rsidR="00A80D8A" w:rsidRDefault="00A80D8A" w:rsidP="007D3712">
      <w:pPr>
        <w:spacing w:after="0"/>
        <w:rPr>
          <w:b/>
          <w:color w:val="76923C" w:themeColor="accent3" w:themeShade="BF"/>
          <w:u w:val="single"/>
        </w:rPr>
      </w:pPr>
    </w:p>
    <w:p w:rsidR="007D3712" w:rsidRDefault="006E71F4" w:rsidP="007D3712">
      <w:pPr>
        <w:spacing w:after="0"/>
        <w:rPr>
          <w:b/>
          <w:color w:val="76923C" w:themeColor="accent3" w:themeShade="BF"/>
          <w:u w:val="single"/>
        </w:rPr>
      </w:pPr>
      <w:r>
        <w:rPr>
          <w:b/>
          <w:color w:val="76923C" w:themeColor="accent3" w:themeShade="BF"/>
          <w:u w:val="single"/>
        </w:rPr>
        <w:t>12:15</w:t>
      </w:r>
      <w:r w:rsidR="007D3712">
        <w:rPr>
          <w:b/>
          <w:color w:val="76923C" w:themeColor="accent3" w:themeShade="BF"/>
          <w:u w:val="single"/>
        </w:rPr>
        <w:t>p-1</w:t>
      </w:r>
      <w:r>
        <w:rPr>
          <w:b/>
          <w:color w:val="76923C" w:themeColor="accent3" w:themeShade="BF"/>
          <w:u w:val="single"/>
        </w:rPr>
        <w:t>:15</w:t>
      </w:r>
      <w:r w:rsidR="007D3712">
        <w:rPr>
          <w:b/>
          <w:color w:val="76923C" w:themeColor="accent3" w:themeShade="BF"/>
          <w:u w:val="single"/>
        </w:rPr>
        <w:t>p</w:t>
      </w:r>
      <w:r w:rsidR="001D2CFF">
        <w:rPr>
          <w:b/>
          <w:color w:val="76923C" w:themeColor="accent3" w:themeShade="BF"/>
          <w:u w:val="single"/>
        </w:rPr>
        <w:t xml:space="preserve"> Financing your Preservation Deal: Debt and Equity Trends</w:t>
      </w:r>
      <w:r w:rsidR="007D3712" w:rsidRPr="00FA0620">
        <w:rPr>
          <w:b/>
          <w:color w:val="76923C" w:themeColor="accent3" w:themeShade="BF"/>
          <w:u w:val="single"/>
        </w:rPr>
        <w:t xml:space="preserve"> </w:t>
      </w:r>
    </w:p>
    <w:p w:rsidR="007A7F98" w:rsidRPr="007A7F98" w:rsidRDefault="007A7F98" w:rsidP="007A7F98">
      <w:pPr>
        <w:spacing w:after="0"/>
      </w:pPr>
      <w:r w:rsidRPr="007A7F98">
        <w:t xml:space="preserve">Moderator: </w:t>
      </w:r>
      <w:r>
        <w:t>Viorst</w:t>
      </w:r>
    </w:p>
    <w:p w:rsidR="007A7F98" w:rsidRPr="007A7F98" w:rsidRDefault="007A7F98" w:rsidP="007A7F98">
      <w:pPr>
        <w:spacing w:after="0"/>
      </w:pPr>
      <w:r>
        <w:t>George/Kelcher/Neumann</w:t>
      </w:r>
    </w:p>
    <w:p w:rsidR="001D2CFF" w:rsidRDefault="001D2CFF" w:rsidP="007D3712">
      <w:pPr>
        <w:spacing w:after="0"/>
      </w:pPr>
      <w:r>
        <w:t xml:space="preserve">Debt and equity providers will provide an update on the upward trends and new products in the 2019 marketplace, including interest rates, </w:t>
      </w:r>
      <w:r w:rsidR="00542246">
        <w:t>lender requirements, and pricing</w:t>
      </w:r>
      <w:r>
        <w:t>.</w:t>
      </w:r>
    </w:p>
    <w:p w:rsidR="006B185C" w:rsidRDefault="006B185C" w:rsidP="006B185C">
      <w:pPr>
        <w:spacing w:after="0"/>
      </w:pPr>
    </w:p>
    <w:p w:rsidR="00FB6307" w:rsidRDefault="006B185C" w:rsidP="006B185C">
      <w:pPr>
        <w:spacing w:after="0"/>
        <w:rPr>
          <w:b/>
          <w:color w:val="76923C" w:themeColor="accent3" w:themeShade="BF"/>
          <w:u w:val="single"/>
        </w:rPr>
      </w:pPr>
      <w:r w:rsidRPr="00D95666">
        <w:rPr>
          <w:b/>
          <w:color w:val="76923C" w:themeColor="accent3" w:themeShade="BF"/>
          <w:u w:val="single"/>
        </w:rPr>
        <w:t>6:15p -7:30p Networking Reception</w:t>
      </w:r>
    </w:p>
    <w:p w:rsidR="004477AF" w:rsidRDefault="00D95666" w:rsidP="006B185C">
      <w:pPr>
        <w:spacing w:after="0"/>
      </w:pPr>
      <w:r w:rsidRPr="00FB6307">
        <w:t>J</w:t>
      </w:r>
      <w:r w:rsidR="006B185C" w:rsidRPr="00D95666">
        <w:t>oin all faculty and atte</w:t>
      </w:r>
      <w:r w:rsidR="00FB6307">
        <w:t>ndees at a networking reception.</w:t>
      </w:r>
    </w:p>
    <w:p w:rsidR="002A03D9" w:rsidRDefault="002A03D9" w:rsidP="006B185C">
      <w:pPr>
        <w:spacing w:after="0"/>
      </w:pPr>
    </w:p>
    <w:p w:rsidR="00972878" w:rsidRDefault="00972878" w:rsidP="006B185C">
      <w:pPr>
        <w:spacing w:after="0"/>
      </w:pPr>
    </w:p>
    <w:p w:rsidR="00A80D8A" w:rsidRDefault="00A80D8A" w:rsidP="006B185C">
      <w:pPr>
        <w:spacing w:after="0"/>
      </w:pPr>
    </w:p>
    <w:p w:rsidR="00A80D8A" w:rsidRDefault="00A80D8A" w:rsidP="006B185C">
      <w:pPr>
        <w:spacing w:after="0"/>
      </w:pPr>
    </w:p>
    <w:p w:rsidR="002A03D9" w:rsidRDefault="002A03D9" w:rsidP="006B185C">
      <w:pPr>
        <w:spacing w:after="0"/>
        <w:rPr>
          <w:b/>
        </w:rPr>
      </w:pPr>
      <w:r>
        <w:rPr>
          <w:b/>
          <w:noProof/>
          <w:sz w:val="28"/>
          <w:szCs w:val="28"/>
        </w:rPr>
        <w:drawing>
          <wp:inline distT="0" distB="0" distL="0" distR="0" wp14:anchorId="57169B25" wp14:editId="194AC2AB">
            <wp:extent cx="5943600" cy="680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hp_logo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80720"/>
                    </a:xfrm>
                    <a:prstGeom prst="rect">
                      <a:avLst/>
                    </a:prstGeom>
                  </pic:spPr>
                </pic:pic>
              </a:graphicData>
            </a:graphic>
          </wp:inline>
        </w:drawing>
      </w:r>
    </w:p>
    <w:p w:rsidR="002A03D9" w:rsidRDefault="002A03D9" w:rsidP="006B185C">
      <w:pPr>
        <w:spacing w:after="0"/>
        <w:rPr>
          <w:b/>
        </w:rPr>
      </w:pPr>
    </w:p>
    <w:p w:rsidR="00D96803" w:rsidRDefault="00D96803" w:rsidP="002A03D9">
      <w:pPr>
        <w:spacing w:after="0"/>
        <w:rPr>
          <w:b/>
          <w:sz w:val="28"/>
          <w:szCs w:val="28"/>
        </w:rPr>
      </w:pPr>
    </w:p>
    <w:p w:rsidR="002A03D9" w:rsidRPr="002C7E3D" w:rsidRDefault="002A03D9" w:rsidP="002A03D9">
      <w:pPr>
        <w:spacing w:after="0"/>
        <w:rPr>
          <w:b/>
          <w:i/>
          <w:sz w:val="28"/>
          <w:szCs w:val="28"/>
        </w:rPr>
      </w:pPr>
      <w:r w:rsidRPr="00D94FCB">
        <w:rPr>
          <w:b/>
          <w:sz w:val="28"/>
          <w:szCs w:val="28"/>
        </w:rPr>
        <w:t>INSTITUTE FOR RESPONSIBLE HOUSING</w:t>
      </w:r>
      <w:r w:rsidRPr="0072572F">
        <w:rPr>
          <w:b/>
          <w:sz w:val="28"/>
          <w:szCs w:val="28"/>
        </w:rPr>
        <w:t xml:space="preserve"> </w:t>
      </w:r>
      <w:r w:rsidRPr="00D94FCB">
        <w:rPr>
          <w:b/>
          <w:sz w:val="28"/>
          <w:szCs w:val="28"/>
        </w:rPr>
        <w:t>PR</w:t>
      </w:r>
      <w:r>
        <w:rPr>
          <w:b/>
          <w:sz w:val="28"/>
          <w:szCs w:val="28"/>
        </w:rPr>
        <w:t>ESERVATION</w:t>
      </w:r>
      <w:r w:rsidRPr="00D94FCB">
        <w:rPr>
          <w:b/>
          <w:sz w:val="28"/>
          <w:szCs w:val="28"/>
        </w:rPr>
        <w:t xml:space="preserve"> </w:t>
      </w:r>
      <w:r w:rsidRPr="002C7E3D">
        <w:rPr>
          <w:b/>
          <w:i/>
          <w:sz w:val="28"/>
          <w:szCs w:val="28"/>
        </w:rPr>
        <w:t>presents</w:t>
      </w:r>
    </w:p>
    <w:p w:rsidR="002A03D9" w:rsidRPr="0072572F" w:rsidRDefault="002A03D9" w:rsidP="002A03D9">
      <w:pPr>
        <w:spacing w:after="0"/>
        <w:rPr>
          <w:b/>
          <w:sz w:val="24"/>
          <w:szCs w:val="24"/>
        </w:rPr>
      </w:pPr>
      <w:r w:rsidRPr="0072572F">
        <w:rPr>
          <w:rFonts w:ascii="Arial" w:hAnsi="Arial" w:cs="Arial"/>
          <w:b/>
          <w:bCs/>
          <w:color w:val="3C3C3C"/>
          <w:sz w:val="24"/>
          <w:szCs w:val="24"/>
        </w:rPr>
        <w:t>Affordable Housing</w:t>
      </w:r>
      <w:r w:rsidR="001D2CFF">
        <w:rPr>
          <w:rFonts w:ascii="Arial" w:hAnsi="Arial" w:cs="Arial"/>
          <w:b/>
          <w:bCs/>
          <w:color w:val="3C3C3C"/>
          <w:sz w:val="24"/>
          <w:szCs w:val="24"/>
        </w:rPr>
        <w:t xml:space="preserve"> Preservation Symposium</w:t>
      </w:r>
    </w:p>
    <w:p w:rsidR="002A03D9" w:rsidRDefault="002A03D9" w:rsidP="006B185C">
      <w:pPr>
        <w:spacing w:after="0"/>
        <w:rPr>
          <w:b/>
        </w:rPr>
      </w:pPr>
    </w:p>
    <w:p w:rsidR="006B185C" w:rsidRDefault="006B185C" w:rsidP="006B185C">
      <w:pPr>
        <w:spacing w:after="0"/>
        <w:rPr>
          <w:b/>
        </w:rPr>
      </w:pPr>
      <w:r w:rsidRPr="00D95666">
        <w:rPr>
          <w:b/>
        </w:rPr>
        <w:t xml:space="preserve">Day Two – </w:t>
      </w:r>
      <w:r w:rsidR="00107070">
        <w:rPr>
          <w:b/>
        </w:rPr>
        <w:t xml:space="preserve">September </w:t>
      </w:r>
      <w:r w:rsidR="00972878">
        <w:rPr>
          <w:b/>
        </w:rPr>
        <w:t>20, 2019</w:t>
      </w:r>
    </w:p>
    <w:p w:rsidR="004477AF" w:rsidRDefault="004477AF" w:rsidP="004477AF">
      <w:pPr>
        <w:spacing w:after="0"/>
        <w:rPr>
          <w:b/>
          <w:color w:val="76923C" w:themeColor="accent3" w:themeShade="BF"/>
          <w:u w:val="single"/>
        </w:rPr>
      </w:pPr>
    </w:p>
    <w:p w:rsidR="002A03D9" w:rsidRDefault="006E71F4" w:rsidP="002A03D9">
      <w:pPr>
        <w:spacing w:after="0"/>
        <w:rPr>
          <w:b/>
          <w:color w:val="76923C" w:themeColor="accent3" w:themeShade="BF"/>
          <w:u w:val="single"/>
        </w:rPr>
      </w:pPr>
      <w:r>
        <w:rPr>
          <w:b/>
          <w:color w:val="76923C" w:themeColor="accent3" w:themeShade="BF"/>
          <w:u w:val="single"/>
        </w:rPr>
        <w:t>8:3</w:t>
      </w:r>
      <w:r w:rsidR="002A03D9">
        <w:rPr>
          <w:b/>
          <w:color w:val="76923C" w:themeColor="accent3" w:themeShade="BF"/>
          <w:u w:val="single"/>
        </w:rPr>
        <w:t>0 – Registration and Continental Breakfast</w:t>
      </w:r>
    </w:p>
    <w:p w:rsidR="002A03D9" w:rsidRDefault="002A03D9" w:rsidP="004477AF">
      <w:pPr>
        <w:spacing w:after="0"/>
        <w:rPr>
          <w:b/>
          <w:color w:val="76923C" w:themeColor="accent3" w:themeShade="BF"/>
          <w:u w:val="single"/>
        </w:rPr>
      </w:pPr>
    </w:p>
    <w:p w:rsidR="00972878" w:rsidRDefault="00972878" w:rsidP="00972878">
      <w:pPr>
        <w:spacing w:after="0"/>
      </w:pPr>
      <w:r>
        <w:rPr>
          <w:b/>
          <w:color w:val="76923C" w:themeColor="accent3" w:themeShade="BF"/>
          <w:u w:val="single"/>
        </w:rPr>
        <w:t>9:00a-10:00a</w:t>
      </w:r>
      <w:r w:rsidRPr="00D95666">
        <w:rPr>
          <w:b/>
          <w:color w:val="76923C" w:themeColor="accent3" w:themeShade="BF"/>
          <w:u w:val="single"/>
        </w:rPr>
        <w:t xml:space="preserve"> </w:t>
      </w:r>
      <w:r>
        <w:rPr>
          <w:b/>
          <w:color w:val="76923C" w:themeColor="accent3" w:themeShade="BF"/>
          <w:u w:val="single"/>
        </w:rPr>
        <w:t>Private Equity &amp; Opportunity Zone Investments in Affordable Housing Deals</w:t>
      </w:r>
      <w:r w:rsidRPr="00D95666">
        <w:t xml:space="preserve"> </w:t>
      </w:r>
    </w:p>
    <w:p w:rsidR="007A7F98" w:rsidRDefault="007A7F98" w:rsidP="007A7F98">
      <w:pPr>
        <w:spacing w:after="0"/>
      </w:pPr>
      <w:r w:rsidRPr="007A7F98">
        <w:t xml:space="preserve">Moderator: </w:t>
      </w:r>
      <w:r>
        <w:t>Yowell</w:t>
      </w:r>
    </w:p>
    <w:p w:rsidR="00D96803" w:rsidRPr="007A7F98" w:rsidRDefault="00361CA6" w:rsidP="007A7F98">
      <w:pPr>
        <w:spacing w:after="0"/>
      </w:pPr>
      <w:r>
        <w:t>Harrison</w:t>
      </w:r>
      <w:r w:rsidR="00337705">
        <w:t>/Walker</w:t>
      </w:r>
    </w:p>
    <w:p w:rsidR="00972878" w:rsidRPr="00D95666" w:rsidRDefault="008E0098" w:rsidP="00972878">
      <w:pPr>
        <w:spacing w:after="0"/>
      </w:pPr>
      <w:r>
        <w:t>A</w:t>
      </w:r>
      <w:r w:rsidR="00972878">
        <w:t xml:space="preserve"> competitive selli</w:t>
      </w:r>
      <w:r w:rsidR="001D2CFF">
        <w:t>n</w:t>
      </w:r>
      <w:r w:rsidR="00972878">
        <w:t xml:space="preserve">g market and volume cap scarcity have increased the need for developers to innovate new models for project equity. Private Equity </w:t>
      </w:r>
      <w:r w:rsidR="001D2CFF">
        <w:t>investors and Affordable Housing Develop</w:t>
      </w:r>
      <w:r w:rsidR="00972878">
        <w:t>ers discuss their challenges and successes in real world partnerships. Also the potential opportunities for harnessing Opportunity Zone Investments for housing preservation will be discussed.</w:t>
      </w:r>
    </w:p>
    <w:p w:rsidR="00A80D8A" w:rsidRDefault="00A80D8A" w:rsidP="00FA0620">
      <w:pPr>
        <w:spacing w:after="0"/>
        <w:rPr>
          <w:b/>
          <w:color w:val="76923C" w:themeColor="accent3" w:themeShade="BF"/>
          <w:u w:val="single"/>
        </w:rPr>
      </w:pPr>
    </w:p>
    <w:p w:rsidR="00FA0620" w:rsidRDefault="00FA0620" w:rsidP="00FA0620">
      <w:pPr>
        <w:spacing w:after="0"/>
        <w:rPr>
          <w:b/>
          <w:color w:val="76923C" w:themeColor="accent3" w:themeShade="BF"/>
          <w:u w:val="single"/>
        </w:rPr>
      </w:pPr>
      <w:r>
        <w:rPr>
          <w:b/>
          <w:color w:val="76923C" w:themeColor="accent3" w:themeShade="BF"/>
          <w:u w:val="single"/>
        </w:rPr>
        <w:t>10:00</w:t>
      </w:r>
      <w:r w:rsidRPr="00D95666">
        <w:rPr>
          <w:b/>
          <w:color w:val="76923C" w:themeColor="accent3" w:themeShade="BF"/>
          <w:u w:val="single"/>
        </w:rPr>
        <w:t>a-</w:t>
      </w:r>
      <w:r>
        <w:rPr>
          <w:b/>
          <w:color w:val="76923C" w:themeColor="accent3" w:themeShade="BF"/>
          <w:u w:val="single"/>
        </w:rPr>
        <w:t>11:00a</w:t>
      </w:r>
      <w:r w:rsidRPr="00D95666">
        <w:rPr>
          <w:b/>
          <w:color w:val="76923C" w:themeColor="accent3" w:themeShade="BF"/>
          <w:u w:val="single"/>
        </w:rPr>
        <w:t xml:space="preserve"> </w:t>
      </w:r>
      <w:r w:rsidR="006E71F4">
        <w:rPr>
          <w:b/>
          <w:color w:val="76923C" w:themeColor="accent3" w:themeShade="BF"/>
          <w:u w:val="single"/>
        </w:rPr>
        <w:t>Gett</w:t>
      </w:r>
      <w:r w:rsidR="005761F2">
        <w:rPr>
          <w:b/>
          <w:color w:val="76923C" w:themeColor="accent3" w:themeShade="BF"/>
          <w:u w:val="single"/>
        </w:rPr>
        <w:t xml:space="preserve">ing Your Preservation </w:t>
      </w:r>
      <w:r w:rsidRPr="00D95666">
        <w:rPr>
          <w:b/>
          <w:color w:val="76923C" w:themeColor="accent3" w:themeShade="BF"/>
          <w:u w:val="single"/>
        </w:rPr>
        <w:t>Dea</w:t>
      </w:r>
      <w:r w:rsidR="006E71F4">
        <w:rPr>
          <w:b/>
          <w:color w:val="76923C" w:themeColor="accent3" w:themeShade="BF"/>
          <w:u w:val="single"/>
        </w:rPr>
        <w:t>l Closed</w:t>
      </w:r>
    </w:p>
    <w:p w:rsidR="007A7F98" w:rsidRPr="007A7F98" w:rsidRDefault="007A7F98" w:rsidP="007A7F98">
      <w:pPr>
        <w:spacing w:after="0"/>
      </w:pPr>
      <w:r w:rsidRPr="007A7F98">
        <w:t xml:space="preserve">Moderator: </w:t>
      </w:r>
      <w:r>
        <w:t>Kelly</w:t>
      </w:r>
    </w:p>
    <w:p w:rsidR="007A7F98" w:rsidRPr="007A7F98" w:rsidRDefault="007A7F98" w:rsidP="007A7F98">
      <w:pPr>
        <w:spacing w:after="0"/>
      </w:pPr>
      <w:r>
        <w:t>Flaherty/</w:t>
      </w:r>
      <w:r w:rsidR="00765C36">
        <w:t>Lynch/</w:t>
      </w:r>
      <w:r>
        <w:t>Petro/Thielen</w:t>
      </w:r>
    </w:p>
    <w:p w:rsidR="00FA0620" w:rsidRPr="00D95666" w:rsidRDefault="006E71F4" w:rsidP="00FA0620">
      <w:pPr>
        <w:spacing w:after="0"/>
      </w:pPr>
      <w:r>
        <w:t>Our experts will discuss the critical issues and practical solutions in closing your preservation transaction in a timely manner.</w:t>
      </w:r>
    </w:p>
    <w:p w:rsidR="00A80D8A" w:rsidRDefault="00A80D8A" w:rsidP="004477AF">
      <w:pPr>
        <w:spacing w:after="0"/>
        <w:rPr>
          <w:b/>
          <w:color w:val="76923C" w:themeColor="accent3" w:themeShade="BF"/>
          <w:u w:val="single"/>
        </w:rPr>
      </w:pPr>
    </w:p>
    <w:p w:rsidR="004477AF" w:rsidRPr="00D95666" w:rsidRDefault="004477AF" w:rsidP="004477AF">
      <w:pPr>
        <w:spacing w:after="0"/>
        <w:rPr>
          <w:b/>
          <w:color w:val="76923C" w:themeColor="accent3" w:themeShade="BF"/>
          <w:u w:val="single"/>
        </w:rPr>
      </w:pPr>
      <w:r w:rsidRPr="00D95666">
        <w:rPr>
          <w:b/>
          <w:color w:val="76923C" w:themeColor="accent3" w:themeShade="BF"/>
          <w:u w:val="single"/>
        </w:rPr>
        <w:t>11:00a-11:15a Break</w:t>
      </w:r>
    </w:p>
    <w:p w:rsidR="00A80D8A" w:rsidRDefault="00A80D8A" w:rsidP="004477AF">
      <w:pPr>
        <w:spacing w:after="0"/>
        <w:rPr>
          <w:b/>
          <w:color w:val="76923C" w:themeColor="accent3" w:themeShade="BF"/>
          <w:u w:val="single"/>
        </w:rPr>
      </w:pPr>
    </w:p>
    <w:p w:rsidR="004477AF" w:rsidRDefault="004477AF" w:rsidP="004477AF">
      <w:pPr>
        <w:spacing w:after="0"/>
        <w:rPr>
          <w:b/>
          <w:color w:val="76923C" w:themeColor="accent3" w:themeShade="BF"/>
          <w:u w:val="single"/>
        </w:rPr>
      </w:pPr>
      <w:r>
        <w:rPr>
          <w:b/>
          <w:color w:val="76923C" w:themeColor="accent3" w:themeShade="BF"/>
          <w:u w:val="single"/>
        </w:rPr>
        <w:t>11:15a-12</w:t>
      </w:r>
      <w:r w:rsidRPr="00D95666">
        <w:rPr>
          <w:b/>
          <w:color w:val="76923C" w:themeColor="accent3" w:themeShade="BF"/>
          <w:u w:val="single"/>
        </w:rPr>
        <w:t>:00</w:t>
      </w:r>
      <w:r w:rsidR="00E90274">
        <w:rPr>
          <w:b/>
          <w:color w:val="76923C" w:themeColor="accent3" w:themeShade="BF"/>
          <w:u w:val="single"/>
        </w:rPr>
        <w:t xml:space="preserve">p View from HUD </w:t>
      </w:r>
      <w:r w:rsidRPr="00D95666">
        <w:rPr>
          <w:b/>
          <w:color w:val="76923C" w:themeColor="accent3" w:themeShade="BF"/>
          <w:u w:val="single"/>
        </w:rPr>
        <w:t xml:space="preserve"> </w:t>
      </w:r>
      <w:r w:rsidR="00FA0620" w:rsidRPr="00D95666">
        <w:rPr>
          <w:b/>
          <w:color w:val="76923C" w:themeColor="accent3" w:themeShade="BF"/>
          <w:u w:val="single"/>
        </w:rPr>
        <w:t xml:space="preserve"> </w:t>
      </w:r>
    </w:p>
    <w:p w:rsidR="007A7F98" w:rsidRPr="007A7F98" w:rsidRDefault="007A7F98" w:rsidP="007A7F98">
      <w:pPr>
        <w:spacing w:after="0"/>
      </w:pPr>
      <w:r w:rsidRPr="007A7F98">
        <w:t>Moderator: Wallace</w:t>
      </w:r>
    </w:p>
    <w:p w:rsidR="007A7F98" w:rsidRPr="00D95666" w:rsidRDefault="007A7F98" w:rsidP="004477AF">
      <w:pPr>
        <w:spacing w:after="0"/>
        <w:rPr>
          <w:b/>
          <w:color w:val="76923C" w:themeColor="accent3" w:themeShade="BF"/>
          <w:u w:val="single"/>
        </w:rPr>
      </w:pPr>
      <w:r>
        <w:t>Castro/Sussman</w:t>
      </w:r>
    </w:p>
    <w:p w:rsidR="008E0098" w:rsidRDefault="008E0098" w:rsidP="00D66DDF">
      <w:pPr>
        <w:spacing w:after="0"/>
      </w:pPr>
      <w:r>
        <w:t>HUD officials are invited to discuss new and existing policy initiatives and provide an update on the new REAC process.</w:t>
      </w:r>
    </w:p>
    <w:p w:rsidR="006E71F4" w:rsidRDefault="006E71F4" w:rsidP="00D66DDF">
      <w:pPr>
        <w:spacing w:after="0" w:line="240" w:lineRule="auto"/>
        <w:rPr>
          <w:rFonts w:ascii="Calibri" w:eastAsia="Times New Roman" w:hAnsi="Calibri" w:cs="Calibri"/>
          <w:color w:val="000000"/>
          <w:kern w:val="28"/>
        </w:rPr>
      </w:pPr>
    </w:p>
    <w:p w:rsidR="001D2CFF" w:rsidRDefault="001D2CFF" w:rsidP="001D2CFF">
      <w:pPr>
        <w:spacing w:after="0"/>
        <w:rPr>
          <w:b/>
          <w:color w:val="76923C" w:themeColor="accent3" w:themeShade="BF"/>
          <w:u w:val="single"/>
        </w:rPr>
      </w:pPr>
      <w:r>
        <w:rPr>
          <w:b/>
          <w:color w:val="76923C" w:themeColor="accent3" w:themeShade="BF"/>
          <w:u w:val="single"/>
        </w:rPr>
        <w:t xml:space="preserve">12:00P-1:00P </w:t>
      </w:r>
      <w:proofErr w:type="gramStart"/>
      <w:r>
        <w:rPr>
          <w:b/>
          <w:color w:val="76923C" w:themeColor="accent3" w:themeShade="BF"/>
          <w:u w:val="single"/>
        </w:rPr>
        <w:t>What’s</w:t>
      </w:r>
      <w:proofErr w:type="gramEnd"/>
      <w:r>
        <w:rPr>
          <w:b/>
          <w:color w:val="76923C" w:themeColor="accent3" w:themeShade="BF"/>
          <w:u w:val="single"/>
        </w:rPr>
        <w:t xml:space="preserve"> New + What’s Next</w:t>
      </w:r>
    </w:p>
    <w:p w:rsidR="007A7F98" w:rsidRPr="007A7F98" w:rsidRDefault="007A7F98" w:rsidP="007A7F98">
      <w:pPr>
        <w:spacing w:after="0"/>
      </w:pPr>
      <w:r w:rsidRPr="007A7F98">
        <w:t>Moderator: Wallace</w:t>
      </w:r>
    </w:p>
    <w:p w:rsidR="007A7F98" w:rsidRPr="007A7F98" w:rsidRDefault="007A7F98" w:rsidP="007A7F98">
      <w:pPr>
        <w:spacing w:after="0"/>
      </w:pPr>
      <w:r>
        <w:t>Miscavish/Ruvolo</w:t>
      </w:r>
    </w:p>
    <w:p w:rsidR="001D2CFF" w:rsidRPr="00E873C2" w:rsidRDefault="001D2CFF" w:rsidP="00D66DDF">
      <w:pPr>
        <w:spacing w:after="0" w:line="240" w:lineRule="auto"/>
        <w:rPr>
          <w:rFonts w:ascii="Calibri" w:eastAsia="Times New Roman" w:hAnsi="Calibri" w:cs="Calibri"/>
          <w:color w:val="000000"/>
          <w:kern w:val="28"/>
        </w:rPr>
      </w:pPr>
      <w:r>
        <w:rPr>
          <w:rFonts w:ascii="Calibri" w:eastAsia="Times New Roman" w:hAnsi="Calibri" w:cs="Calibri"/>
          <w:color w:val="000000"/>
          <w:kern w:val="28"/>
        </w:rPr>
        <w:t xml:space="preserve">Experts will discuss the state of the preservation marketplace and new </w:t>
      </w:r>
      <w:r w:rsidR="006E71F4">
        <w:rPr>
          <w:rFonts w:ascii="Calibri" w:eastAsia="Times New Roman" w:hAnsi="Calibri" w:cs="Calibri"/>
          <w:color w:val="000000"/>
          <w:kern w:val="28"/>
        </w:rPr>
        <w:t xml:space="preserve">(and old) </w:t>
      </w:r>
      <w:r>
        <w:rPr>
          <w:rFonts w:ascii="Calibri" w:eastAsia="Times New Roman" w:hAnsi="Calibri" w:cs="Calibri"/>
          <w:color w:val="000000"/>
          <w:kern w:val="28"/>
        </w:rPr>
        <w:t>opportunities</w:t>
      </w:r>
      <w:r w:rsidR="006E71F4">
        <w:rPr>
          <w:rFonts w:ascii="Calibri" w:eastAsia="Times New Roman" w:hAnsi="Calibri" w:cs="Calibri"/>
          <w:color w:val="000000"/>
          <w:kern w:val="28"/>
        </w:rPr>
        <w:t xml:space="preserve"> in various preservation portfolios, including LIHPRHA and MTM</w:t>
      </w:r>
      <w:r>
        <w:rPr>
          <w:rFonts w:ascii="Calibri" w:eastAsia="Times New Roman" w:hAnsi="Calibri" w:cs="Calibri"/>
          <w:color w:val="000000"/>
          <w:kern w:val="28"/>
        </w:rPr>
        <w:t>.</w:t>
      </w:r>
    </w:p>
    <w:p w:rsidR="004477AF" w:rsidRPr="00D95666" w:rsidRDefault="004477AF" w:rsidP="006B185C">
      <w:pPr>
        <w:spacing w:after="0"/>
      </w:pPr>
    </w:p>
    <w:p w:rsidR="00107070" w:rsidRDefault="00107070" w:rsidP="005A73D1">
      <w:pPr>
        <w:spacing w:after="0"/>
      </w:pPr>
    </w:p>
    <w:p w:rsidR="001D2CFF" w:rsidRDefault="001D2CFF" w:rsidP="005A73D1">
      <w:pPr>
        <w:spacing w:after="0"/>
      </w:pPr>
    </w:p>
    <w:p w:rsidR="001D2CFF" w:rsidRDefault="001D2CFF" w:rsidP="005A73D1">
      <w:pPr>
        <w:spacing w:after="0"/>
      </w:pPr>
    </w:p>
    <w:p w:rsidR="001D2CFF" w:rsidRDefault="001D2CFF" w:rsidP="005A73D1">
      <w:pPr>
        <w:spacing w:after="0"/>
      </w:pPr>
    </w:p>
    <w:p w:rsidR="001D2CFF" w:rsidRDefault="001D2CFF" w:rsidP="005A73D1">
      <w:pPr>
        <w:spacing w:after="0"/>
      </w:pPr>
    </w:p>
    <w:p w:rsidR="00A80D8A" w:rsidRDefault="00A80D8A" w:rsidP="005A73D1">
      <w:pPr>
        <w:spacing w:after="0"/>
      </w:pPr>
    </w:p>
    <w:p w:rsidR="005761F2" w:rsidRDefault="005761F2" w:rsidP="00B90081">
      <w:pPr>
        <w:spacing w:after="0"/>
        <w:rPr>
          <w:b/>
          <w:color w:val="76923C" w:themeColor="accent3" w:themeShade="BF"/>
          <w:sz w:val="28"/>
          <w:szCs w:val="28"/>
          <w:u w:val="single"/>
        </w:rPr>
      </w:pPr>
    </w:p>
    <w:p w:rsidR="00891892" w:rsidRDefault="00891892" w:rsidP="00891892">
      <w:pPr>
        <w:spacing w:after="0"/>
        <w:rPr>
          <w:b/>
          <w:color w:val="76923C" w:themeColor="accent3" w:themeShade="BF"/>
          <w:sz w:val="28"/>
          <w:szCs w:val="28"/>
          <w:u w:val="single"/>
        </w:rPr>
      </w:pPr>
      <w:r>
        <w:rPr>
          <w:b/>
          <w:noProof/>
          <w:sz w:val="28"/>
          <w:szCs w:val="28"/>
        </w:rPr>
        <w:drawing>
          <wp:inline distT="0" distB="0" distL="0" distR="0" wp14:anchorId="32F9C40C" wp14:editId="32E2DEFF">
            <wp:extent cx="5943600" cy="680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hp_logo_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80720"/>
                    </a:xfrm>
                    <a:prstGeom prst="rect">
                      <a:avLst/>
                    </a:prstGeom>
                  </pic:spPr>
                </pic:pic>
              </a:graphicData>
            </a:graphic>
          </wp:inline>
        </w:drawing>
      </w:r>
    </w:p>
    <w:p w:rsidR="00891892" w:rsidRDefault="00891892" w:rsidP="00891892">
      <w:pPr>
        <w:spacing w:after="0"/>
        <w:rPr>
          <w:b/>
          <w:color w:val="76923C" w:themeColor="accent3" w:themeShade="BF"/>
          <w:sz w:val="28"/>
          <w:szCs w:val="28"/>
          <w:u w:val="single"/>
        </w:rPr>
      </w:pPr>
    </w:p>
    <w:p w:rsidR="00891892" w:rsidRDefault="00891892" w:rsidP="00891892">
      <w:pPr>
        <w:spacing w:after="0"/>
        <w:rPr>
          <w:b/>
          <w:color w:val="76923C" w:themeColor="accent3" w:themeShade="BF"/>
          <w:sz w:val="28"/>
          <w:szCs w:val="28"/>
          <w:u w:val="single"/>
        </w:rPr>
      </w:pPr>
    </w:p>
    <w:p w:rsidR="00891892" w:rsidRDefault="00891892" w:rsidP="00891892">
      <w:pPr>
        <w:spacing w:after="0"/>
        <w:rPr>
          <w:b/>
          <w:color w:val="76923C" w:themeColor="accent3" w:themeShade="BF"/>
          <w:sz w:val="28"/>
          <w:szCs w:val="28"/>
          <w:u w:val="single"/>
        </w:rPr>
      </w:pPr>
      <w:r>
        <w:rPr>
          <w:b/>
          <w:color w:val="76923C" w:themeColor="accent3" w:themeShade="BF"/>
          <w:sz w:val="28"/>
          <w:szCs w:val="28"/>
          <w:u w:val="single"/>
        </w:rPr>
        <w:t>CO-CHAIRS</w:t>
      </w:r>
    </w:p>
    <w:p w:rsidR="00891892" w:rsidRDefault="00891892" w:rsidP="00891892">
      <w:pPr>
        <w:spacing w:after="0"/>
        <w:rPr>
          <w:b/>
          <w:sz w:val="24"/>
          <w:szCs w:val="24"/>
        </w:rPr>
      </w:pPr>
      <w:r>
        <w:rPr>
          <w:b/>
          <w:sz w:val="24"/>
          <w:szCs w:val="24"/>
        </w:rPr>
        <w:t>Randall Kelly, Foundation Housing</w:t>
      </w:r>
    </w:p>
    <w:p w:rsidR="00891892" w:rsidRPr="006B185C" w:rsidRDefault="00891892" w:rsidP="00891892">
      <w:pPr>
        <w:spacing w:after="0"/>
        <w:rPr>
          <w:b/>
          <w:color w:val="76923C" w:themeColor="accent3" w:themeShade="BF"/>
          <w:sz w:val="28"/>
          <w:szCs w:val="28"/>
          <w:u w:val="single"/>
        </w:rPr>
      </w:pPr>
      <w:r w:rsidRPr="006B185C">
        <w:rPr>
          <w:b/>
          <w:sz w:val="24"/>
          <w:szCs w:val="24"/>
        </w:rPr>
        <w:t>Stephen J Wallace, Nixon Peabody LLP</w:t>
      </w:r>
    </w:p>
    <w:p w:rsidR="00891892" w:rsidRDefault="00891892" w:rsidP="00891892">
      <w:pPr>
        <w:spacing w:after="0"/>
        <w:rPr>
          <w:b/>
          <w:color w:val="76923C" w:themeColor="accent3" w:themeShade="BF"/>
          <w:sz w:val="28"/>
          <w:szCs w:val="28"/>
          <w:u w:val="single"/>
        </w:rPr>
      </w:pPr>
    </w:p>
    <w:p w:rsidR="00891892" w:rsidRDefault="00891892" w:rsidP="00891892">
      <w:pPr>
        <w:spacing w:after="0"/>
        <w:rPr>
          <w:b/>
          <w:color w:val="76923C" w:themeColor="accent3" w:themeShade="BF"/>
          <w:sz w:val="28"/>
          <w:szCs w:val="28"/>
          <w:u w:val="single"/>
        </w:rPr>
      </w:pPr>
    </w:p>
    <w:p w:rsidR="00891892" w:rsidRDefault="00891892" w:rsidP="00891892">
      <w:pPr>
        <w:spacing w:after="0"/>
        <w:rPr>
          <w:b/>
          <w:color w:val="76923C" w:themeColor="accent3" w:themeShade="BF"/>
          <w:sz w:val="28"/>
          <w:szCs w:val="28"/>
          <w:u w:val="single"/>
        </w:rPr>
      </w:pPr>
      <w:r>
        <w:rPr>
          <w:b/>
          <w:color w:val="76923C" w:themeColor="accent3" w:themeShade="BF"/>
          <w:sz w:val="28"/>
          <w:szCs w:val="28"/>
          <w:u w:val="single"/>
        </w:rPr>
        <w:t>INVITED SPEAKERS</w:t>
      </w:r>
    </w:p>
    <w:p w:rsidR="00891892" w:rsidRDefault="00891892" w:rsidP="00891892">
      <w:pPr>
        <w:spacing w:after="0"/>
        <w:rPr>
          <w:b/>
          <w:sz w:val="24"/>
          <w:szCs w:val="24"/>
        </w:rPr>
      </w:pPr>
      <w:r>
        <w:rPr>
          <w:b/>
          <w:sz w:val="24"/>
          <w:szCs w:val="24"/>
        </w:rPr>
        <w:t xml:space="preserve">Rebecca Arthur, </w:t>
      </w:r>
      <w:proofErr w:type="spellStart"/>
      <w:r>
        <w:rPr>
          <w:b/>
          <w:sz w:val="24"/>
          <w:szCs w:val="24"/>
        </w:rPr>
        <w:t>Novogradac</w:t>
      </w:r>
      <w:proofErr w:type="spellEnd"/>
      <w:r>
        <w:rPr>
          <w:b/>
          <w:sz w:val="24"/>
          <w:szCs w:val="24"/>
        </w:rPr>
        <w:t xml:space="preserve"> &amp; Company LLP</w:t>
      </w:r>
    </w:p>
    <w:p w:rsidR="00891892" w:rsidRPr="00B90081" w:rsidRDefault="00891892" w:rsidP="00891892">
      <w:pPr>
        <w:spacing w:after="0"/>
        <w:rPr>
          <w:b/>
          <w:sz w:val="24"/>
          <w:szCs w:val="24"/>
        </w:rPr>
      </w:pPr>
      <w:r w:rsidRPr="00B90081">
        <w:rPr>
          <w:b/>
          <w:sz w:val="24"/>
          <w:szCs w:val="24"/>
        </w:rPr>
        <w:t>Frank Castro, HUD</w:t>
      </w:r>
    </w:p>
    <w:p w:rsidR="00891892" w:rsidRDefault="00891892" w:rsidP="00891892">
      <w:pPr>
        <w:spacing w:after="0"/>
        <w:rPr>
          <w:b/>
          <w:sz w:val="24"/>
          <w:szCs w:val="24"/>
        </w:rPr>
      </w:pPr>
      <w:r>
        <w:rPr>
          <w:b/>
          <w:sz w:val="24"/>
          <w:szCs w:val="24"/>
        </w:rPr>
        <w:t>Nate Cushman, Nixon Peabody LLP</w:t>
      </w:r>
    </w:p>
    <w:p w:rsidR="00891892" w:rsidRDefault="00891892" w:rsidP="00891892">
      <w:pPr>
        <w:spacing w:after="0"/>
        <w:rPr>
          <w:b/>
          <w:sz w:val="24"/>
          <w:szCs w:val="24"/>
        </w:rPr>
      </w:pPr>
      <w:r>
        <w:rPr>
          <w:b/>
          <w:sz w:val="24"/>
          <w:szCs w:val="24"/>
        </w:rPr>
        <w:t xml:space="preserve">Tim Flaherty, Flaherty &amp; </w:t>
      </w:r>
      <w:proofErr w:type="spellStart"/>
      <w:r>
        <w:rPr>
          <w:b/>
          <w:sz w:val="24"/>
          <w:szCs w:val="24"/>
        </w:rPr>
        <w:t>Salmin</w:t>
      </w:r>
      <w:proofErr w:type="spellEnd"/>
      <w:r>
        <w:rPr>
          <w:b/>
          <w:sz w:val="24"/>
          <w:szCs w:val="24"/>
        </w:rPr>
        <w:t xml:space="preserve"> CPAs</w:t>
      </w:r>
    </w:p>
    <w:p w:rsidR="00891892" w:rsidRDefault="00891892" w:rsidP="00891892">
      <w:pPr>
        <w:spacing w:after="0"/>
        <w:rPr>
          <w:b/>
          <w:sz w:val="24"/>
          <w:szCs w:val="24"/>
        </w:rPr>
      </w:pPr>
      <w:r w:rsidRPr="00B90081">
        <w:rPr>
          <w:b/>
          <w:sz w:val="24"/>
          <w:szCs w:val="24"/>
        </w:rPr>
        <w:t>David Gasson, Boston Capital/Housing Advisory Group</w:t>
      </w:r>
    </w:p>
    <w:p w:rsidR="00891892" w:rsidRDefault="00891892" w:rsidP="00891892">
      <w:pPr>
        <w:spacing w:after="0"/>
        <w:rPr>
          <w:b/>
          <w:sz w:val="24"/>
          <w:szCs w:val="24"/>
        </w:rPr>
      </w:pPr>
      <w:r>
        <w:rPr>
          <w:b/>
          <w:sz w:val="24"/>
          <w:szCs w:val="24"/>
        </w:rPr>
        <w:t>Dwayne George, Freddie Mac</w:t>
      </w:r>
    </w:p>
    <w:p w:rsidR="00BF23F6" w:rsidRDefault="00BF23F6" w:rsidP="00891892">
      <w:pPr>
        <w:spacing w:after="0"/>
        <w:rPr>
          <w:b/>
          <w:sz w:val="24"/>
          <w:szCs w:val="24"/>
        </w:rPr>
      </w:pPr>
      <w:bookmarkStart w:id="0" w:name="_GoBack"/>
      <w:bookmarkEnd w:id="0"/>
      <w:r>
        <w:rPr>
          <w:b/>
          <w:sz w:val="24"/>
          <w:szCs w:val="24"/>
        </w:rPr>
        <w:t>Rob Hazelton, Dominion Due Diligence</w:t>
      </w:r>
    </w:p>
    <w:p w:rsidR="00361CA6" w:rsidRDefault="00361CA6" w:rsidP="00891892">
      <w:pPr>
        <w:spacing w:after="0"/>
        <w:rPr>
          <w:b/>
          <w:sz w:val="24"/>
          <w:szCs w:val="24"/>
        </w:rPr>
      </w:pPr>
      <w:r>
        <w:rPr>
          <w:b/>
          <w:sz w:val="24"/>
          <w:szCs w:val="24"/>
        </w:rPr>
        <w:t xml:space="preserve">Louis A Harrison, </w:t>
      </w:r>
      <w:proofErr w:type="spellStart"/>
      <w:r>
        <w:rPr>
          <w:b/>
          <w:sz w:val="24"/>
          <w:szCs w:val="24"/>
        </w:rPr>
        <w:t>Belveron</w:t>
      </w:r>
      <w:proofErr w:type="spellEnd"/>
      <w:r>
        <w:rPr>
          <w:b/>
          <w:sz w:val="24"/>
          <w:szCs w:val="24"/>
        </w:rPr>
        <w:t xml:space="preserve"> Partners</w:t>
      </w:r>
    </w:p>
    <w:p w:rsidR="00FC3F48" w:rsidRDefault="00FC3F48" w:rsidP="00891892">
      <w:pPr>
        <w:spacing w:after="0"/>
        <w:rPr>
          <w:b/>
          <w:sz w:val="24"/>
          <w:szCs w:val="24"/>
        </w:rPr>
      </w:pPr>
      <w:r>
        <w:rPr>
          <w:b/>
          <w:sz w:val="24"/>
          <w:szCs w:val="24"/>
        </w:rPr>
        <w:t xml:space="preserve">Timothy Henkel, </w:t>
      </w:r>
      <w:proofErr w:type="spellStart"/>
      <w:r>
        <w:rPr>
          <w:b/>
          <w:sz w:val="24"/>
          <w:szCs w:val="24"/>
        </w:rPr>
        <w:t>Pennrose</w:t>
      </w:r>
      <w:proofErr w:type="spellEnd"/>
      <w:r>
        <w:rPr>
          <w:b/>
          <w:sz w:val="24"/>
          <w:szCs w:val="24"/>
        </w:rPr>
        <w:t xml:space="preserve"> Properties, LLC</w:t>
      </w:r>
    </w:p>
    <w:p w:rsidR="00891892" w:rsidRDefault="00891892" w:rsidP="00891892">
      <w:pPr>
        <w:spacing w:after="0"/>
        <w:rPr>
          <w:b/>
          <w:sz w:val="24"/>
          <w:szCs w:val="24"/>
        </w:rPr>
      </w:pPr>
      <w:r w:rsidRPr="00B90081">
        <w:rPr>
          <w:b/>
          <w:sz w:val="24"/>
          <w:szCs w:val="24"/>
        </w:rPr>
        <w:t>Angela Kelcher, Fannie Mae</w:t>
      </w:r>
    </w:p>
    <w:p w:rsidR="00891892" w:rsidRDefault="00891892" w:rsidP="00891892">
      <w:pPr>
        <w:spacing w:after="0"/>
        <w:rPr>
          <w:b/>
          <w:sz w:val="24"/>
          <w:szCs w:val="24"/>
        </w:rPr>
      </w:pPr>
      <w:r>
        <w:rPr>
          <w:b/>
          <w:sz w:val="24"/>
          <w:szCs w:val="24"/>
        </w:rPr>
        <w:t>Joe Lynch, Nixon Peabody LLP</w:t>
      </w:r>
    </w:p>
    <w:p w:rsidR="00891892" w:rsidRDefault="00891892" w:rsidP="00891892">
      <w:pPr>
        <w:spacing w:after="0"/>
        <w:rPr>
          <w:b/>
          <w:sz w:val="24"/>
          <w:szCs w:val="24"/>
        </w:rPr>
      </w:pPr>
      <w:r>
        <w:rPr>
          <w:b/>
          <w:sz w:val="24"/>
          <w:szCs w:val="24"/>
        </w:rPr>
        <w:t>Steve Miscavish, Affordable Housing Advisors</w:t>
      </w:r>
    </w:p>
    <w:p w:rsidR="00891892" w:rsidRDefault="00891892" w:rsidP="00891892">
      <w:pPr>
        <w:spacing w:after="0"/>
        <w:rPr>
          <w:b/>
          <w:sz w:val="24"/>
          <w:szCs w:val="24"/>
        </w:rPr>
      </w:pPr>
      <w:r w:rsidRPr="00B90081">
        <w:rPr>
          <w:b/>
          <w:sz w:val="24"/>
          <w:szCs w:val="24"/>
        </w:rPr>
        <w:t>Denise Muha, National Leased Housing Association</w:t>
      </w:r>
    </w:p>
    <w:p w:rsidR="00891892" w:rsidRDefault="00891892" w:rsidP="00891892">
      <w:pPr>
        <w:spacing w:after="0"/>
        <w:rPr>
          <w:b/>
          <w:sz w:val="24"/>
          <w:szCs w:val="24"/>
        </w:rPr>
      </w:pPr>
      <w:r>
        <w:rPr>
          <w:b/>
          <w:sz w:val="24"/>
          <w:szCs w:val="24"/>
        </w:rPr>
        <w:t>Kent Neumann, Tiber Hudson LLC</w:t>
      </w:r>
    </w:p>
    <w:p w:rsidR="00891892" w:rsidRDefault="00891892" w:rsidP="00891892">
      <w:pPr>
        <w:spacing w:after="0"/>
        <w:rPr>
          <w:b/>
          <w:sz w:val="24"/>
          <w:szCs w:val="24"/>
        </w:rPr>
      </w:pPr>
      <w:r>
        <w:rPr>
          <w:b/>
          <w:sz w:val="24"/>
          <w:szCs w:val="24"/>
        </w:rPr>
        <w:t>Jessica Petro, Sarah’s Circle</w:t>
      </w:r>
    </w:p>
    <w:p w:rsidR="00891892" w:rsidRDefault="00891892" w:rsidP="00891892">
      <w:pPr>
        <w:spacing w:after="0"/>
        <w:rPr>
          <w:b/>
          <w:sz w:val="24"/>
          <w:szCs w:val="24"/>
        </w:rPr>
      </w:pPr>
      <w:r>
        <w:rPr>
          <w:b/>
          <w:sz w:val="24"/>
          <w:szCs w:val="24"/>
        </w:rPr>
        <w:t>Anthony Ruvolo, Nixon Peabody LLP</w:t>
      </w:r>
    </w:p>
    <w:p w:rsidR="004B6203" w:rsidRDefault="004B6203" w:rsidP="00891892">
      <w:pPr>
        <w:spacing w:after="0"/>
        <w:rPr>
          <w:b/>
          <w:sz w:val="24"/>
          <w:szCs w:val="24"/>
        </w:rPr>
      </w:pPr>
      <w:r>
        <w:rPr>
          <w:b/>
          <w:sz w:val="24"/>
          <w:szCs w:val="24"/>
        </w:rPr>
        <w:t>Kathie Soroka, Nixon Peabody LLP</w:t>
      </w:r>
    </w:p>
    <w:p w:rsidR="00891892" w:rsidRDefault="00891892" w:rsidP="00891892">
      <w:pPr>
        <w:spacing w:after="0"/>
        <w:rPr>
          <w:b/>
          <w:sz w:val="24"/>
          <w:szCs w:val="24"/>
        </w:rPr>
      </w:pPr>
      <w:r>
        <w:rPr>
          <w:b/>
          <w:sz w:val="24"/>
          <w:szCs w:val="24"/>
        </w:rPr>
        <w:t>Monica Sussman, Nixon Peabody LLP</w:t>
      </w:r>
    </w:p>
    <w:p w:rsidR="00891892" w:rsidRDefault="00891892" w:rsidP="00891892">
      <w:pPr>
        <w:spacing w:after="0"/>
        <w:rPr>
          <w:b/>
          <w:sz w:val="24"/>
          <w:szCs w:val="24"/>
        </w:rPr>
      </w:pPr>
      <w:r>
        <w:rPr>
          <w:b/>
          <w:sz w:val="24"/>
          <w:szCs w:val="24"/>
        </w:rPr>
        <w:t>Ronne Thielen, R4 Capital</w:t>
      </w:r>
    </w:p>
    <w:p w:rsidR="00891892" w:rsidRDefault="00891892" w:rsidP="00891892">
      <w:pPr>
        <w:spacing w:after="0"/>
        <w:rPr>
          <w:b/>
          <w:sz w:val="24"/>
          <w:szCs w:val="24"/>
        </w:rPr>
      </w:pPr>
      <w:r w:rsidRPr="00B90081">
        <w:rPr>
          <w:b/>
          <w:sz w:val="24"/>
          <w:szCs w:val="24"/>
        </w:rPr>
        <w:t>Deborah VanAmerongen, Nixon Peabody LLP</w:t>
      </w:r>
    </w:p>
    <w:p w:rsidR="00891892" w:rsidRDefault="00891892" w:rsidP="00891892">
      <w:pPr>
        <w:spacing w:after="0"/>
        <w:rPr>
          <w:b/>
          <w:sz w:val="24"/>
          <w:szCs w:val="24"/>
        </w:rPr>
      </w:pPr>
      <w:r>
        <w:rPr>
          <w:b/>
          <w:sz w:val="24"/>
          <w:szCs w:val="24"/>
        </w:rPr>
        <w:t>Alex Viorst, P</w:t>
      </w:r>
      <w:r w:rsidR="006D6843">
        <w:rPr>
          <w:b/>
          <w:sz w:val="24"/>
          <w:szCs w:val="24"/>
        </w:rPr>
        <w:t>GIM Real Estate Finance</w:t>
      </w:r>
    </w:p>
    <w:p w:rsidR="00337705" w:rsidRDefault="00337705" w:rsidP="00891892">
      <w:pPr>
        <w:spacing w:after="0"/>
        <w:rPr>
          <w:b/>
          <w:sz w:val="24"/>
          <w:szCs w:val="24"/>
        </w:rPr>
      </w:pPr>
      <w:r>
        <w:rPr>
          <w:b/>
          <w:sz w:val="24"/>
          <w:szCs w:val="24"/>
        </w:rPr>
        <w:t xml:space="preserve">Russ Walker, </w:t>
      </w:r>
      <w:proofErr w:type="spellStart"/>
      <w:r>
        <w:rPr>
          <w:b/>
          <w:sz w:val="24"/>
          <w:szCs w:val="24"/>
        </w:rPr>
        <w:t>Tablerock</w:t>
      </w:r>
      <w:proofErr w:type="spellEnd"/>
      <w:r>
        <w:rPr>
          <w:b/>
          <w:sz w:val="24"/>
          <w:szCs w:val="24"/>
        </w:rPr>
        <w:t xml:space="preserve"> Capital</w:t>
      </w:r>
    </w:p>
    <w:p w:rsidR="00891892" w:rsidRDefault="00891892" w:rsidP="00891892">
      <w:pPr>
        <w:spacing w:after="0"/>
        <w:rPr>
          <w:b/>
          <w:sz w:val="24"/>
          <w:szCs w:val="24"/>
        </w:rPr>
      </w:pPr>
      <w:r>
        <w:rPr>
          <w:b/>
          <w:sz w:val="24"/>
          <w:szCs w:val="24"/>
        </w:rPr>
        <w:t>Aaron Yowell, Nixon Peabody LLP</w:t>
      </w:r>
    </w:p>
    <w:p w:rsidR="00891892" w:rsidRDefault="00891892" w:rsidP="00B90081">
      <w:pPr>
        <w:spacing w:after="0"/>
        <w:rPr>
          <w:b/>
          <w:color w:val="76923C" w:themeColor="accent3" w:themeShade="BF"/>
          <w:sz w:val="28"/>
          <w:szCs w:val="28"/>
          <w:u w:val="single"/>
        </w:rPr>
      </w:pPr>
    </w:p>
    <w:sectPr w:rsidR="00891892" w:rsidSect="002A03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C"/>
    <w:rsid w:val="00024AB6"/>
    <w:rsid w:val="00041012"/>
    <w:rsid w:val="00047988"/>
    <w:rsid w:val="00066BDC"/>
    <w:rsid w:val="000F446E"/>
    <w:rsid w:val="00107070"/>
    <w:rsid w:val="001305BE"/>
    <w:rsid w:val="0013467C"/>
    <w:rsid w:val="001A57D7"/>
    <w:rsid w:val="001B5039"/>
    <w:rsid w:val="001C2E20"/>
    <w:rsid w:val="001D2CFF"/>
    <w:rsid w:val="001E05DB"/>
    <w:rsid w:val="00245186"/>
    <w:rsid w:val="002512AE"/>
    <w:rsid w:val="00271F47"/>
    <w:rsid w:val="0027209D"/>
    <w:rsid w:val="0027333E"/>
    <w:rsid w:val="00280F1C"/>
    <w:rsid w:val="00290976"/>
    <w:rsid w:val="002933C9"/>
    <w:rsid w:val="002A03D9"/>
    <w:rsid w:val="002B2AAC"/>
    <w:rsid w:val="00301FFB"/>
    <w:rsid w:val="00304168"/>
    <w:rsid w:val="00314F68"/>
    <w:rsid w:val="00337705"/>
    <w:rsid w:val="00346CFD"/>
    <w:rsid w:val="00360582"/>
    <w:rsid w:val="00361CA6"/>
    <w:rsid w:val="00372844"/>
    <w:rsid w:val="00375D03"/>
    <w:rsid w:val="0039079E"/>
    <w:rsid w:val="003C4977"/>
    <w:rsid w:val="003E7651"/>
    <w:rsid w:val="00444E3F"/>
    <w:rsid w:val="004477AF"/>
    <w:rsid w:val="004B6203"/>
    <w:rsid w:val="00507CCE"/>
    <w:rsid w:val="005155C3"/>
    <w:rsid w:val="00542246"/>
    <w:rsid w:val="00542BC8"/>
    <w:rsid w:val="005761F2"/>
    <w:rsid w:val="005A52AD"/>
    <w:rsid w:val="005A73D1"/>
    <w:rsid w:val="005B1355"/>
    <w:rsid w:val="005B3F5A"/>
    <w:rsid w:val="005D4127"/>
    <w:rsid w:val="00681D3C"/>
    <w:rsid w:val="006923CC"/>
    <w:rsid w:val="006B154F"/>
    <w:rsid w:val="006B185C"/>
    <w:rsid w:val="006B5936"/>
    <w:rsid w:val="006D6843"/>
    <w:rsid w:val="006E71F4"/>
    <w:rsid w:val="0070574E"/>
    <w:rsid w:val="00707F50"/>
    <w:rsid w:val="00753DCC"/>
    <w:rsid w:val="00765718"/>
    <w:rsid w:val="00765C36"/>
    <w:rsid w:val="007A7F98"/>
    <w:rsid w:val="007D3712"/>
    <w:rsid w:val="007D5EAA"/>
    <w:rsid w:val="007E0361"/>
    <w:rsid w:val="007E6001"/>
    <w:rsid w:val="007F040F"/>
    <w:rsid w:val="008172C6"/>
    <w:rsid w:val="008660B6"/>
    <w:rsid w:val="008774EE"/>
    <w:rsid w:val="00891892"/>
    <w:rsid w:val="008E0098"/>
    <w:rsid w:val="008F7359"/>
    <w:rsid w:val="008F77E1"/>
    <w:rsid w:val="0094324F"/>
    <w:rsid w:val="00945621"/>
    <w:rsid w:val="00945EB6"/>
    <w:rsid w:val="00966AD2"/>
    <w:rsid w:val="00972878"/>
    <w:rsid w:val="00975939"/>
    <w:rsid w:val="00991471"/>
    <w:rsid w:val="00A618A2"/>
    <w:rsid w:val="00A80D8A"/>
    <w:rsid w:val="00A90671"/>
    <w:rsid w:val="00AB17B3"/>
    <w:rsid w:val="00AE398C"/>
    <w:rsid w:val="00B0339D"/>
    <w:rsid w:val="00B1263F"/>
    <w:rsid w:val="00B16028"/>
    <w:rsid w:val="00B330BF"/>
    <w:rsid w:val="00B42F2D"/>
    <w:rsid w:val="00B45D90"/>
    <w:rsid w:val="00B54273"/>
    <w:rsid w:val="00B7703D"/>
    <w:rsid w:val="00B90081"/>
    <w:rsid w:val="00B958C6"/>
    <w:rsid w:val="00BA15F7"/>
    <w:rsid w:val="00BA16FC"/>
    <w:rsid w:val="00BC5719"/>
    <w:rsid w:val="00BF23F6"/>
    <w:rsid w:val="00C10813"/>
    <w:rsid w:val="00C3232F"/>
    <w:rsid w:val="00C3655A"/>
    <w:rsid w:val="00C93998"/>
    <w:rsid w:val="00C97008"/>
    <w:rsid w:val="00CA0643"/>
    <w:rsid w:val="00CA3652"/>
    <w:rsid w:val="00CB6189"/>
    <w:rsid w:val="00CC4180"/>
    <w:rsid w:val="00CD3A79"/>
    <w:rsid w:val="00D07887"/>
    <w:rsid w:val="00D408C4"/>
    <w:rsid w:val="00D40EFC"/>
    <w:rsid w:val="00D51952"/>
    <w:rsid w:val="00D63A23"/>
    <w:rsid w:val="00D66DDF"/>
    <w:rsid w:val="00D94C76"/>
    <w:rsid w:val="00D94E5B"/>
    <w:rsid w:val="00D95666"/>
    <w:rsid w:val="00D961DA"/>
    <w:rsid w:val="00D96803"/>
    <w:rsid w:val="00D975E8"/>
    <w:rsid w:val="00DC24C2"/>
    <w:rsid w:val="00DE3344"/>
    <w:rsid w:val="00DF5753"/>
    <w:rsid w:val="00E064EC"/>
    <w:rsid w:val="00E47857"/>
    <w:rsid w:val="00E6639D"/>
    <w:rsid w:val="00E701C6"/>
    <w:rsid w:val="00E81289"/>
    <w:rsid w:val="00E873C2"/>
    <w:rsid w:val="00E90274"/>
    <w:rsid w:val="00E91BD9"/>
    <w:rsid w:val="00EC2327"/>
    <w:rsid w:val="00EF7CBE"/>
    <w:rsid w:val="00F60396"/>
    <w:rsid w:val="00F63079"/>
    <w:rsid w:val="00F759AC"/>
    <w:rsid w:val="00FA0620"/>
    <w:rsid w:val="00FB6307"/>
    <w:rsid w:val="00FC3F48"/>
    <w:rsid w:val="00FD6529"/>
    <w:rsid w:val="00FE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94C76"/>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BalloonText">
    <w:name w:val="Balloon Text"/>
    <w:basedOn w:val="Normal"/>
    <w:link w:val="BalloonTextChar"/>
    <w:uiPriority w:val="99"/>
    <w:semiHidden/>
    <w:unhideWhenUsed/>
    <w:rsid w:val="006B1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94C76"/>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BalloonText">
    <w:name w:val="Balloon Text"/>
    <w:basedOn w:val="Normal"/>
    <w:link w:val="BalloonTextChar"/>
    <w:uiPriority w:val="99"/>
    <w:semiHidden/>
    <w:unhideWhenUsed/>
    <w:rsid w:val="006B1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8142">
      <w:bodyDiv w:val="1"/>
      <w:marLeft w:val="0"/>
      <w:marRight w:val="0"/>
      <w:marTop w:val="0"/>
      <w:marBottom w:val="0"/>
      <w:divBdr>
        <w:top w:val="none" w:sz="0" w:space="0" w:color="auto"/>
        <w:left w:val="none" w:sz="0" w:space="0" w:color="auto"/>
        <w:bottom w:val="none" w:sz="0" w:space="0" w:color="auto"/>
        <w:right w:val="none" w:sz="0" w:space="0" w:color="auto"/>
      </w:divBdr>
    </w:div>
    <w:div w:id="752051706">
      <w:bodyDiv w:val="1"/>
      <w:marLeft w:val="0"/>
      <w:marRight w:val="0"/>
      <w:marTop w:val="0"/>
      <w:marBottom w:val="0"/>
      <w:divBdr>
        <w:top w:val="none" w:sz="0" w:space="0" w:color="auto"/>
        <w:left w:val="none" w:sz="0" w:space="0" w:color="auto"/>
        <w:bottom w:val="none" w:sz="0" w:space="0" w:color="auto"/>
        <w:right w:val="none" w:sz="0" w:space="0" w:color="auto"/>
      </w:divBdr>
    </w:div>
    <w:div w:id="900284547">
      <w:bodyDiv w:val="1"/>
      <w:marLeft w:val="0"/>
      <w:marRight w:val="0"/>
      <w:marTop w:val="0"/>
      <w:marBottom w:val="0"/>
      <w:divBdr>
        <w:top w:val="none" w:sz="0" w:space="0" w:color="auto"/>
        <w:left w:val="none" w:sz="0" w:space="0" w:color="auto"/>
        <w:bottom w:val="none" w:sz="0" w:space="0" w:color="auto"/>
        <w:right w:val="none" w:sz="0" w:space="0" w:color="auto"/>
      </w:divBdr>
    </w:div>
    <w:div w:id="12686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2019-08-15T19:29:00Z</cp:lastPrinted>
  <dcterms:created xsi:type="dcterms:W3CDTF">2019-09-10T18:37:00Z</dcterms:created>
  <dcterms:modified xsi:type="dcterms:W3CDTF">2019-09-10T18:37:00Z</dcterms:modified>
</cp:coreProperties>
</file>